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ECF7" w14:textId="02564653" w:rsidR="000115DF" w:rsidRDefault="00AB7801" w:rsidP="008E364B">
      <w:pPr>
        <w:jc w:val="center"/>
        <w:rPr>
          <w:b/>
          <w:bCs/>
          <w:sz w:val="28"/>
          <w:szCs w:val="28"/>
          <w:lang w:val="en-US"/>
        </w:rPr>
      </w:pPr>
      <w:r w:rsidRPr="000115DF">
        <w:rPr>
          <w:b/>
          <w:bCs/>
          <w:sz w:val="28"/>
          <w:szCs w:val="28"/>
          <w:lang w:val="en-US"/>
        </w:rPr>
        <w:t xml:space="preserve">Parish Council template for submission to Norwich to Tilbury Pylons/Trenching </w:t>
      </w:r>
      <w:r w:rsidR="00C50061">
        <w:rPr>
          <w:b/>
          <w:bCs/>
          <w:sz w:val="28"/>
          <w:szCs w:val="28"/>
          <w:lang w:val="en-US"/>
        </w:rPr>
        <w:t>Statutory C</w:t>
      </w:r>
      <w:r w:rsidRPr="000115DF">
        <w:rPr>
          <w:b/>
          <w:bCs/>
          <w:sz w:val="28"/>
          <w:szCs w:val="28"/>
          <w:lang w:val="en-US"/>
        </w:rPr>
        <w:t>onsultation</w:t>
      </w:r>
      <w:r w:rsidR="00C50061">
        <w:rPr>
          <w:b/>
          <w:bCs/>
          <w:sz w:val="28"/>
          <w:szCs w:val="28"/>
          <w:lang w:val="en-US"/>
        </w:rPr>
        <w:t xml:space="preserve"> 2024</w:t>
      </w:r>
      <w:r w:rsidR="008763B1" w:rsidRPr="000115DF">
        <w:rPr>
          <w:b/>
          <w:bCs/>
          <w:sz w:val="28"/>
          <w:szCs w:val="28"/>
          <w:lang w:val="en-US"/>
        </w:rPr>
        <w:t>.</w:t>
      </w:r>
    </w:p>
    <w:p w14:paraId="12B06C31" w14:textId="203DFA0B" w:rsidR="00C50061" w:rsidRDefault="00C50061" w:rsidP="00C4413B">
      <w:pPr>
        <w:rPr>
          <w:color w:val="E26C0A"/>
          <w:sz w:val="24"/>
          <w:szCs w:val="24"/>
          <w:lang w:val="en-US"/>
        </w:rPr>
      </w:pPr>
      <w:r w:rsidRPr="00C50061">
        <w:rPr>
          <w:sz w:val="24"/>
          <w:szCs w:val="24"/>
          <w:lang w:val="en-US"/>
        </w:rPr>
        <w:t>Format:</w:t>
      </w:r>
      <w:r w:rsidR="00C4413B">
        <w:rPr>
          <w:sz w:val="24"/>
          <w:szCs w:val="24"/>
          <w:lang w:val="en-US"/>
        </w:rPr>
        <w:t xml:space="preserve">   </w:t>
      </w:r>
      <w:r w:rsidRPr="00C50061">
        <w:rPr>
          <w:color w:val="E26C0A"/>
          <w:sz w:val="24"/>
          <w:szCs w:val="24"/>
          <w:lang w:val="en-US"/>
        </w:rPr>
        <w:t>Overall objection</w:t>
      </w:r>
      <w:r w:rsidR="00C4413B">
        <w:rPr>
          <w:color w:val="E26C0A"/>
          <w:sz w:val="24"/>
          <w:szCs w:val="24"/>
          <w:lang w:val="en-US"/>
        </w:rPr>
        <w:t xml:space="preserve">; </w:t>
      </w:r>
      <w:r w:rsidRPr="00C50061">
        <w:rPr>
          <w:color w:val="E26C0A"/>
          <w:sz w:val="24"/>
          <w:szCs w:val="24"/>
          <w:lang w:val="en-US"/>
        </w:rPr>
        <w:t>Harm caused by scheme</w:t>
      </w:r>
      <w:r>
        <w:rPr>
          <w:color w:val="E26C0A"/>
          <w:sz w:val="24"/>
          <w:szCs w:val="24"/>
          <w:lang w:val="en-US"/>
        </w:rPr>
        <w:t xml:space="preserve"> in your parish</w:t>
      </w:r>
      <w:r w:rsidR="00C4413B">
        <w:rPr>
          <w:color w:val="E26C0A"/>
          <w:sz w:val="24"/>
          <w:szCs w:val="24"/>
          <w:lang w:val="en-US"/>
        </w:rPr>
        <w:t xml:space="preserve">; </w:t>
      </w:r>
      <w:r w:rsidRPr="00C50061">
        <w:rPr>
          <w:color w:val="E26C0A"/>
          <w:sz w:val="24"/>
          <w:szCs w:val="24"/>
          <w:lang w:val="en-US"/>
        </w:rPr>
        <w:t xml:space="preserve">Consultation </w:t>
      </w:r>
      <w:r>
        <w:rPr>
          <w:color w:val="E26C0A"/>
          <w:sz w:val="24"/>
          <w:szCs w:val="24"/>
          <w:lang w:val="en-US"/>
        </w:rPr>
        <w:t>f</w:t>
      </w:r>
      <w:r w:rsidRPr="00C50061">
        <w:rPr>
          <w:color w:val="E26C0A"/>
          <w:sz w:val="24"/>
          <w:szCs w:val="24"/>
          <w:lang w:val="en-US"/>
        </w:rPr>
        <w:t>laws</w:t>
      </w:r>
      <w:r>
        <w:rPr>
          <w:color w:val="E26C0A"/>
          <w:sz w:val="24"/>
          <w:szCs w:val="24"/>
          <w:lang w:val="en-US"/>
        </w:rPr>
        <w:t xml:space="preserve"> in your parish</w:t>
      </w:r>
      <w:r w:rsidR="00C4413B">
        <w:rPr>
          <w:color w:val="E26C0A"/>
          <w:sz w:val="24"/>
          <w:szCs w:val="24"/>
          <w:lang w:val="en-US"/>
        </w:rPr>
        <w:t xml:space="preserve">; </w:t>
      </w:r>
      <w:r w:rsidRPr="00C50061">
        <w:rPr>
          <w:color w:val="E26C0A"/>
          <w:sz w:val="24"/>
          <w:szCs w:val="24"/>
          <w:lang w:val="en-US"/>
        </w:rPr>
        <w:t>Mitigation</w:t>
      </w:r>
      <w:r>
        <w:rPr>
          <w:color w:val="E26C0A"/>
          <w:sz w:val="24"/>
          <w:szCs w:val="24"/>
          <w:lang w:val="en-US"/>
        </w:rPr>
        <w:t xml:space="preserve"> in your parish</w:t>
      </w:r>
    </w:p>
    <w:p w14:paraId="274287F6" w14:textId="77777777" w:rsidR="00C4413B" w:rsidRPr="00C4413B" w:rsidRDefault="00C4413B" w:rsidP="00C4413B">
      <w:pPr>
        <w:rPr>
          <w:rFonts w:cstheme="minorHAnsi"/>
          <w:color w:val="1C1C1C"/>
          <w:shd w:val="clear" w:color="auto" w:fill="FFFFFF"/>
        </w:rPr>
      </w:pPr>
      <w:r w:rsidRPr="00C4413B">
        <w:rPr>
          <w:lang w:val="en-US"/>
        </w:rPr>
        <w:t xml:space="preserve">Send </w:t>
      </w:r>
      <w:r w:rsidRPr="00C4413B">
        <w:rPr>
          <w:rFonts w:cstheme="minorHAnsi"/>
          <w:lang w:val="en-US"/>
        </w:rPr>
        <w:t xml:space="preserve">to </w:t>
      </w:r>
      <w:hyperlink r:id="rId7" w:history="1">
        <w:r w:rsidRPr="00C4413B">
          <w:rPr>
            <w:rStyle w:val="Hyperlink"/>
            <w:rFonts w:cstheme="minorHAnsi"/>
            <w:bdr w:val="none" w:sz="0" w:space="0" w:color="auto" w:frame="1"/>
          </w:rPr>
          <w:t>contact@n-t.nationalgrid.com</w:t>
        </w:r>
      </w:hyperlink>
      <w:r w:rsidRPr="00C4413B">
        <w:rPr>
          <w:rFonts w:cstheme="minorHAnsi"/>
          <w:color w:val="1C1C1C"/>
          <w:shd w:val="clear" w:color="auto" w:fill="FFFFFF"/>
        </w:rPr>
        <w:t xml:space="preserve"> by 18 June 2024.  Cc your MP and </w:t>
      </w:r>
      <w:hyperlink r:id="rId8" w:history="1">
        <w:r w:rsidRPr="00C4413B">
          <w:rPr>
            <w:rStyle w:val="Hyperlink"/>
            <w:rFonts w:cstheme="minorHAnsi"/>
            <w:shd w:val="clear" w:color="auto" w:fill="FFFFFF"/>
          </w:rPr>
          <w:t>pylons180@gmail.com</w:t>
        </w:r>
      </w:hyperlink>
      <w:r w:rsidRPr="00C4413B">
        <w:rPr>
          <w:rFonts w:cstheme="minorHAnsi"/>
          <w:color w:val="1C1C1C"/>
          <w:shd w:val="clear" w:color="auto" w:fill="FFFFFF"/>
        </w:rPr>
        <w:t>.</w:t>
      </w:r>
    </w:p>
    <w:p w14:paraId="4783D300" w14:textId="01B4BC4D" w:rsidR="00C4413B" w:rsidRPr="00C4413B" w:rsidRDefault="00C4413B" w:rsidP="00C4413B">
      <w:pPr>
        <w:rPr>
          <w:b/>
          <w:bCs/>
          <w:lang w:val="en-US"/>
        </w:rPr>
      </w:pPr>
      <w:r w:rsidRPr="00C4413B">
        <w:rPr>
          <w:rFonts w:cstheme="minorHAnsi"/>
          <w:lang w:val="en-US"/>
        </w:rPr>
        <w:t xml:space="preserve">Ask your district council to include your comments in its own submission.  </w:t>
      </w:r>
    </w:p>
    <w:tbl>
      <w:tblPr>
        <w:tblStyle w:val="TableGrid"/>
        <w:tblW w:w="10060" w:type="dxa"/>
        <w:tblLook w:val="04A0" w:firstRow="1" w:lastRow="0" w:firstColumn="1" w:lastColumn="0" w:noHBand="0" w:noVBand="1"/>
      </w:tblPr>
      <w:tblGrid>
        <w:gridCol w:w="4673"/>
        <w:gridCol w:w="5387"/>
      </w:tblGrid>
      <w:tr w:rsidR="00AB7801" w14:paraId="536ABC42" w14:textId="77777777" w:rsidTr="00C4413B">
        <w:tc>
          <w:tcPr>
            <w:tcW w:w="4673" w:type="dxa"/>
          </w:tcPr>
          <w:p w14:paraId="75B60F99" w14:textId="0DB7FCE2" w:rsidR="00AB7801" w:rsidRPr="00C4413B" w:rsidRDefault="00C50061" w:rsidP="00AB7801">
            <w:pPr>
              <w:pStyle w:val="ListParagraph"/>
              <w:rPr>
                <w:b/>
                <w:bCs/>
                <w:highlight w:val="lightGray"/>
                <w:lang w:val="en-US"/>
              </w:rPr>
            </w:pPr>
            <w:r w:rsidRPr="00C4413B">
              <w:rPr>
                <w:b/>
                <w:bCs/>
                <w:highlight w:val="lightGray"/>
                <w:lang w:val="en-US"/>
              </w:rPr>
              <w:t xml:space="preserve">YOUR </w:t>
            </w:r>
            <w:r w:rsidR="00AB7801" w:rsidRPr="00C4413B">
              <w:rPr>
                <w:b/>
                <w:bCs/>
                <w:highlight w:val="lightGray"/>
                <w:lang w:val="en-US"/>
              </w:rPr>
              <w:t>TEXT</w:t>
            </w:r>
          </w:p>
        </w:tc>
        <w:tc>
          <w:tcPr>
            <w:tcW w:w="5387" w:type="dxa"/>
          </w:tcPr>
          <w:p w14:paraId="64816774" w14:textId="45FBC70A" w:rsidR="00AB7801" w:rsidRPr="00C4413B" w:rsidRDefault="00C50061">
            <w:pPr>
              <w:rPr>
                <w:b/>
                <w:bCs/>
                <w:highlight w:val="lightGray"/>
                <w:lang w:val="en-US"/>
              </w:rPr>
            </w:pPr>
            <w:r w:rsidRPr="00C4413B">
              <w:rPr>
                <w:b/>
                <w:bCs/>
                <w:highlight w:val="lightGray"/>
                <w:lang w:val="en-US"/>
              </w:rPr>
              <w:t>ESNP C</w:t>
            </w:r>
            <w:r w:rsidR="00AB7801" w:rsidRPr="00C4413B">
              <w:rPr>
                <w:b/>
                <w:bCs/>
                <w:highlight w:val="lightGray"/>
                <w:lang w:val="en-US"/>
              </w:rPr>
              <w:t>omments</w:t>
            </w:r>
          </w:p>
        </w:tc>
      </w:tr>
      <w:tr w:rsidR="00AB7801" w14:paraId="7759754D" w14:textId="77777777" w:rsidTr="00C4413B">
        <w:tc>
          <w:tcPr>
            <w:tcW w:w="4673" w:type="dxa"/>
          </w:tcPr>
          <w:p w14:paraId="16142F53" w14:textId="77777777" w:rsidR="008763B1" w:rsidRPr="00C4413B" w:rsidRDefault="008763B1" w:rsidP="00AB7801">
            <w:pPr>
              <w:pStyle w:val="ListParagraph"/>
              <w:numPr>
                <w:ilvl w:val="0"/>
                <w:numId w:val="1"/>
              </w:numPr>
              <w:rPr>
                <w:lang w:val="en-US"/>
              </w:rPr>
            </w:pPr>
            <w:r w:rsidRPr="00C4413B">
              <w:rPr>
                <w:b/>
                <w:bCs/>
                <w:color w:val="E26C0A"/>
                <w:lang w:val="en-US"/>
              </w:rPr>
              <w:t>OBJECTION TO SCHEME</w:t>
            </w:r>
            <w:r w:rsidRPr="00C4413B">
              <w:rPr>
                <w:lang w:val="en-US"/>
              </w:rPr>
              <w:t xml:space="preserve">. </w:t>
            </w:r>
          </w:p>
          <w:p w14:paraId="645E4C1A" w14:textId="77777777" w:rsidR="00C50061" w:rsidRPr="00C4413B" w:rsidRDefault="008763B1" w:rsidP="00C50061">
            <w:pPr>
              <w:pStyle w:val="ListParagraph"/>
              <w:rPr>
                <w:lang w:val="en-US"/>
              </w:rPr>
            </w:pPr>
            <w:r w:rsidRPr="00C4413B">
              <w:rPr>
                <w:lang w:val="en-US"/>
              </w:rPr>
              <w:t xml:space="preserve">While accepting the need to move power from the North Sea to London, </w:t>
            </w:r>
            <w:r w:rsidR="00AB7801" w:rsidRPr="00C4413B">
              <w:rPr>
                <w:lang w:val="en-US"/>
              </w:rPr>
              <w:t>[</w:t>
            </w:r>
            <w:r w:rsidR="00AB7801" w:rsidRPr="00C4413B">
              <w:rPr>
                <w:highlight w:val="yellow"/>
                <w:lang w:val="en-US"/>
              </w:rPr>
              <w:t>Parish Council name</w:t>
            </w:r>
            <w:r w:rsidR="00AB7801" w:rsidRPr="00C4413B">
              <w:rPr>
                <w:lang w:val="en-US"/>
              </w:rPr>
              <w:t xml:space="preserve">] objects to the National Grid Norwich to Tilbury pylons proposal.  This is on the basis of the arguments set out in consultation responses in 2022 and 2023 by this </w:t>
            </w:r>
            <w:r w:rsidRPr="00C4413B">
              <w:rPr>
                <w:lang w:val="en-US"/>
              </w:rPr>
              <w:t>P</w:t>
            </w:r>
            <w:r w:rsidR="00AB7801" w:rsidRPr="00C4413B">
              <w:rPr>
                <w:lang w:val="en-US"/>
              </w:rPr>
              <w:t xml:space="preserve">arish </w:t>
            </w:r>
            <w:r w:rsidRPr="00C4413B">
              <w:rPr>
                <w:lang w:val="en-US"/>
              </w:rPr>
              <w:t>C</w:t>
            </w:r>
            <w:r w:rsidR="00AB7801" w:rsidRPr="00C4413B">
              <w:rPr>
                <w:lang w:val="en-US"/>
              </w:rPr>
              <w:t>ouncil and by the Essex Suffolk Norfolk Pylons action group, whose submission</w:t>
            </w:r>
            <w:r w:rsidR="00C50061" w:rsidRPr="00C4413B">
              <w:rPr>
                <w:lang w:val="en-US"/>
              </w:rPr>
              <w:t>s, including to this Statutory Consultation,</w:t>
            </w:r>
            <w:r w:rsidR="00AB7801" w:rsidRPr="00C4413B">
              <w:rPr>
                <w:lang w:val="en-US"/>
              </w:rPr>
              <w:t xml:space="preserve"> we endorse. </w:t>
            </w:r>
          </w:p>
          <w:p w14:paraId="0D480A36" w14:textId="77777777" w:rsidR="00C50061" w:rsidRPr="00C4413B" w:rsidRDefault="00C50061" w:rsidP="00C50061">
            <w:pPr>
              <w:pStyle w:val="ListParagraph"/>
              <w:rPr>
                <w:lang w:val="en-US"/>
              </w:rPr>
            </w:pPr>
          </w:p>
          <w:p w14:paraId="1BC5F6FA" w14:textId="77777777" w:rsidR="00C50061" w:rsidRPr="00C4413B" w:rsidRDefault="00AB7801" w:rsidP="00C50061">
            <w:pPr>
              <w:pStyle w:val="ListParagraph"/>
              <w:rPr>
                <w:lang w:val="en-US"/>
              </w:rPr>
            </w:pPr>
            <w:r w:rsidRPr="00C4413B">
              <w:rPr>
                <w:lang w:val="en-US"/>
              </w:rPr>
              <w:t xml:space="preserve">Consultation has been, and remains inadequate; valid alternatives have not been presented and the harm of National Grid’s preferred solution significantly outweighs the benefits.  </w:t>
            </w:r>
          </w:p>
          <w:p w14:paraId="717C3088" w14:textId="77777777" w:rsidR="00C50061" w:rsidRPr="00C4413B" w:rsidRDefault="00C50061" w:rsidP="00C50061">
            <w:pPr>
              <w:pStyle w:val="ListParagraph"/>
              <w:rPr>
                <w:lang w:val="en-US"/>
              </w:rPr>
            </w:pPr>
          </w:p>
          <w:p w14:paraId="1F3691CC" w14:textId="14A0A239" w:rsidR="00AB7801" w:rsidRPr="00C4413B" w:rsidRDefault="00AB7801" w:rsidP="00C50061">
            <w:pPr>
              <w:pStyle w:val="ListParagraph"/>
              <w:rPr>
                <w:lang w:val="en-US"/>
              </w:rPr>
            </w:pPr>
            <w:r w:rsidRPr="00C4413B">
              <w:rPr>
                <w:lang w:val="en-US"/>
              </w:rPr>
              <w:t xml:space="preserve">Alternatives that we support are:  </w:t>
            </w:r>
          </w:p>
          <w:p w14:paraId="3165AF1C" w14:textId="77777777" w:rsidR="00AB7801" w:rsidRPr="00C4413B" w:rsidRDefault="00AB7801" w:rsidP="00AB7801">
            <w:pPr>
              <w:pStyle w:val="ListParagraph"/>
              <w:numPr>
                <w:ilvl w:val="0"/>
                <w:numId w:val="2"/>
              </w:numPr>
              <w:rPr>
                <w:lang w:val="en-US"/>
              </w:rPr>
            </w:pPr>
            <w:r w:rsidRPr="00C4413B">
              <w:rPr>
                <w:lang w:val="en-US"/>
              </w:rPr>
              <w:t>A fully integrated offshore grid</w:t>
            </w:r>
          </w:p>
          <w:p w14:paraId="6B6E4405" w14:textId="3FDED59B" w:rsidR="00AB7801" w:rsidRPr="00C4413B" w:rsidRDefault="00AB7801" w:rsidP="00AB7801">
            <w:pPr>
              <w:pStyle w:val="ListParagraph"/>
              <w:numPr>
                <w:ilvl w:val="0"/>
                <w:numId w:val="2"/>
              </w:numPr>
              <w:rPr>
                <w:lang w:val="en-US"/>
              </w:rPr>
            </w:pPr>
            <w:r w:rsidRPr="00C4413B">
              <w:rPr>
                <w:lang w:val="en-US"/>
              </w:rPr>
              <w:t>Or HVDC* from Norwich to Tilbury, either underground or subsea.  The subsea option includes a platform for Five Estuaries and North Falls, which we welcome.</w:t>
            </w:r>
          </w:p>
        </w:tc>
        <w:tc>
          <w:tcPr>
            <w:tcW w:w="5387" w:type="dxa"/>
          </w:tcPr>
          <w:p w14:paraId="0034742C" w14:textId="55F5AC81" w:rsidR="00AB7801" w:rsidRPr="00C4413B" w:rsidRDefault="00AB7801">
            <w:pPr>
              <w:rPr>
                <w:lang w:val="en-US"/>
              </w:rPr>
            </w:pPr>
            <w:r w:rsidRPr="00C4413B">
              <w:rPr>
                <w:lang w:val="en-US"/>
              </w:rPr>
              <w:t xml:space="preserve">Essex Suffolk Norfolk Pylons action group has a barrister, heritage consultant, landscape consultant, mapping expert and environmental experts </w:t>
            </w:r>
            <w:proofErr w:type="spellStart"/>
            <w:r w:rsidRPr="00C4413B">
              <w:rPr>
                <w:lang w:val="en-US"/>
              </w:rPr>
              <w:t>analysing</w:t>
            </w:r>
            <w:proofErr w:type="spellEnd"/>
            <w:r w:rsidRPr="00C4413B">
              <w:rPr>
                <w:lang w:val="en-US"/>
              </w:rPr>
              <w:t xml:space="preserve"> NG’s documentation</w:t>
            </w:r>
            <w:r w:rsidR="00C50061" w:rsidRPr="00C4413B">
              <w:rPr>
                <w:lang w:val="en-US"/>
              </w:rPr>
              <w:t xml:space="preserve"> for the proposal as a whole</w:t>
            </w:r>
            <w:r w:rsidRPr="00C4413B">
              <w:rPr>
                <w:lang w:val="en-US"/>
              </w:rPr>
              <w:t xml:space="preserve">.  </w:t>
            </w:r>
            <w:r w:rsidR="00C50061" w:rsidRPr="00C4413B">
              <w:rPr>
                <w:lang w:val="en-US"/>
              </w:rPr>
              <w:t xml:space="preserve">Due to the length of the route, and cost of consultants, they will only be able to choose specific case studies to make their points, which is where your local knowledge is invaluable. </w:t>
            </w:r>
            <w:r w:rsidRPr="00C4413B">
              <w:rPr>
                <w:lang w:val="en-US"/>
              </w:rPr>
              <w:t xml:space="preserve"> Th</w:t>
            </w:r>
            <w:r w:rsidR="00C50061" w:rsidRPr="00C4413B">
              <w:rPr>
                <w:lang w:val="en-US"/>
              </w:rPr>
              <w:t>e experts’ reports</w:t>
            </w:r>
            <w:r w:rsidRPr="00C4413B">
              <w:rPr>
                <w:lang w:val="en-US"/>
              </w:rPr>
              <w:t xml:space="preserve"> will be publicly available towards the end of the consultation period, when it is all completed and pulled together.  If Parish Councils are able to contribute funds towards these experts it would be very helpful and can be done via www.pylonseastanglia.co.uk/fundraising</w:t>
            </w:r>
          </w:p>
        </w:tc>
      </w:tr>
      <w:tr w:rsidR="00AB7801" w14:paraId="73AAEFE3" w14:textId="77777777" w:rsidTr="00C4413B">
        <w:tc>
          <w:tcPr>
            <w:tcW w:w="4673" w:type="dxa"/>
          </w:tcPr>
          <w:p w14:paraId="3DF60974" w14:textId="36402605" w:rsidR="00AB7801" w:rsidRPr="00C4413B" w:rsidRDefault="008763B1" w:rsidP="00AB7801">
            <w:pPr>
              <w:pStyle w:val="ListParagraph"/>
              <w:numPr>
                <w:ilvl w:val="0"/>
                <w:numId w:val="1"/>
              </w:numPr>
              <w:rPr>
                <w:b/>
                <w:bCs/>
                <w:lang w:val="en-US"/>
              </w:rPr>
            </w:pPr>
            <w:r w:rsidRPr="00C4413B">
              <w:rPr>
                <w:b/>
                <w:bCs/>
                <w:color w:val="E26C0A"/>
                <w:lang w:val="en-US"/>
              </w:rPr>
              <w:t>HARM caused by the project</w:t>
            </w:r>
          </w:p>
        </w:tc>
        <w:tc>
          <w:tcPr>
            <w:tcW w:w="5387" w:type="dxa"/>
          </w:tcPr>
          <w:p w14:paraId="22D58062" w14:textId="11A1A077" w:rsidR="00AB7801" w:rsidRPr="00C4413B" w:rsidRDefault="008763B1">
            <w:pPr>
              <w:rPr>
                <w:lang w:val="en-US"/>
              </w:rPr>
            </w:pPr>
            <w:r w:rsidRPr="00C4413B">
              <w:rPr>
                <w:lang w:val="en-US"/>
              </w:rPr>
              <w:t>Specify these for your parish.  You may have additional harms to those set out here.</w:t>
            </w:r>
          </w:p>
        </w:tc>
      </w:tr>
      <w:tr w:rsidR="00AB7801" w14:paraId="6763BD9B" w14:textId="77777777" w:rsidTr="00C4413B">
        <w:tc>
          <w:tcPr>
            <w:tcW w:w="4673" w:type="dxa"/>
          </w:tcPr>
          <w:p w14:paraId="7FC1D1D2" w14:textId="4CED05A8" w:rsidR="00AB7801" w:rsidRPr="00C4413B" w:rsidRDefault="008763B1" w:rsidP="008763B1">
            <w:pPr>
              <w:pStyle w:val="ListParagraph"/>
              <w:numPr>
                <w:ilvl w:val="0"/>
                <w:numId w:val="2"/>
              </w:numPr>
              <w:rPr>
                <w:lang w:val="en-US"/>
              </w:rPr>
            </w:pPr>
            <w:r w:rsidRPr="00C4413B">
              <w:rPr>
                <w:lang w:val="en-US"/>
              </w:rPr>
              <w:t>Heritage</w:t>
            </w:r>
          </w:p>
        </w:tc>
        <w:tc>
          <w:tcPr>
            <w:tcW w:w="5387" w:type="dxa"/>
          </w:tcPr>
          <w:p w14:paraId="499B56F4" w14:textId="723B86EA" w:rsidR="00AB7801" w:rsidRPr="00C4413B" w:rsidRDefault="008763B1">
            <w:pPr>
              <w:rPr>
                <w:lang w:val="en-US"/>
              </w:rPr>
            </w:pPr>
            <w:r w:rsidRPr="00C4413B">
              <w:rPr>
                <w:lang w:val="en-US"/>
              </w:rPr>
              <w:t>Describe the harm cause to historic assets like listed buildings.  List the assets, their proximity, the harm caused.  Critique NG’s assessment of your Parish. Note that we have a heritage survey which can be found here:  www.pylonseastanglia.co.uk/actions</w:t>
            </w:r>
          </w:p>
        </w:tc>
      </w:tr>
      <w:tr w:rsidR="00AB7801" w14:paraId="7A30F741" w14:textId="77777777" w:rsidTr="00C4413B">
        <w:tc>
          <w:tcPr>
            <w:tcW w:w="4673" w:type="dxa"/>
          </w:tcPr>
          <w:p w14:paraId="786DE3E2" w14:textId="58595E36" w:rsidR="00AB7801" w:rsidRPr="00C4413B" w:rsidRDefault="008763B1" w:rsidP="008763B1">
            <w:pPr>
              <w:pStyle w:val="ListParagraph"/>
              <w:numPr>
                <w:ilvl w:val="0"/>
                <w:numId w:val="2"/>
              </w:numPr>
              <w:rPr>
                <w:lang w:val="en-US"/>
              </w:rPr>
            </w:pPr>
            <w:r w:rsidRPr="00C4413B">
              <w:rPr>
                <w:lang w:val="en-US"/>
              </w:rPr>
              <w:t>Archaeology</w:t>
            </w:r>
          </w:p>
        </w:tc>
        <w:tc>
          <w:tcPr>
            <w:tcW w:w="5387" w:type="dxa"/>
          </w:tcPr>
          <w:p w14:paraId="2ACC499E" w14:textId="1F68453E" w:rsidR="00AB7801" w:rsidRPr="00C4413B" w:rsidRDefault="008763B1">
            <w:pPr>
              <w:rPr>
                <w:lang w:val="en-US"/>
              </w:rPr>
            </w:pPr>
            <w:r w:rsidRPr="00C4413B">
              <w:rPr>
                <w:lang w:val="en-US"/>
              </w:rPr>
              <w:t>Describe the harm caused by the project. List and compare against NG’s assessment</w:t>
            </w:r>
          </w:p>
        </w:tc>
      </w:tr>
      <w:tr w:rsidR="00AB7801" w14:paraId="618727C2" w14:textId="77777777" w:rsidTr="00C4413B">
        <w:tc>
          <w:tcPr>
            <w:tcW w:w="4673" w:type="dxa"/>
          </w:tcPr>
          <w:p w14:paraId="438A760B" w14:textId="71A6EB62" w:rsidR="00AB7801" w:rsidRPr="00C4413B" w:rsidRDefault="008763B1" w:rsidP="008763B1">
            <w:pPr>
              <w:pStyle w:val="ListParagraph"/>
              <w:numPr>
                <w:ilvl w:val="0"/>
                <w:numId w:val="2"/>
              </w:numPr>
              <w:rPr>
                <w:lang w:val="en-US"/>
              </w:rPr>
            </w:pPr>
            <w:r w:rsidRPr="00C4413B">
              <w:rPr>
                <w:lang w:val="en-US"/>
              </w:rPr>
              <w:t>Environment, habitat, species</w:t>
            </w:r>
          </w:p>
        </w:tc>
        <w:tc>
          <w:tcPr>
            <w:tcW w:w="5387" w:type="dxa"/>
          </w:tcPr>
          <w:p w14:paraId="31DF6089" w14:textId="1E6FA488" w:rsidR="00AB7801" w:rsidRPr="00C4413B" w:rsidRDefault="008763B1">
            <w:pPr>
              <w:rPr>
                <w:lang w:val="en-US"/>
              </w:rPr>
            </w:pPr>
            <w:r w:rsidRPr="00C4413B">
              <w:rPr>
                <w:lang w:val="en-US"/>
              </w:rPr>
              <w:t xml:space="preserve">Describe the harm caused by the project.  List and compare against NG’s assessment.  Use </w:t>
            </w:r>
            <w:hyperlink r:id="rId9" w:history="1">
              <w:r w:rsidRPr="00C4413B">
                <w:rPr>
                  <w:rStyle w:val="Hyperlink"/>
                  <w:lang w:val="en-US"/>
                </w:rPr>
                <w:t>www.magicmap.co.uk</w:t>
              </w:r>
            </w:hyperlink>
            <w:r w:rsidRPr="00C4413B">
              <w:rPr>
                <w:lang w:val="en-US"/>
              </w:rPr>
              <w:t xml:space="preserve"> to identify habitats &amp; landscapes.</w:t>
            </w:r>
          </w:p>
        </w:tc>
      </w:tr>
      <w:tr w:rsidR="00AB7801" w14:paraId="5ACF4DB1" w14:textId="77777777" w:rsidTr="00C4413B">
        <w:tc>
          <w:tcPr>
            <w:tcW w:w="4673" w:type="dxa"/>
          </w:tcPr>
          <w:p w14:paraId="190D1BF7" w14:textId="7B65D51E" w:rsidR="00AB7801" w:rsidRPr="00C4413B" w:rsidRDefault="008763B1" w:rsidP="008763B1">
            <w:pPr>
              <w:pStyle w:val="ListParagraph"/>
              <w:numPr>
                <w:ilvl w:val="0"/>
                <w:numId w:val="2"/>
              </w:numPr>
              <w:rPr>
                <w:lang w:val="en-US"/>
              </w:rPr>
            </w:pPr>
            <w:r w:rsidRPr="00C4413B">
              <w:rPr>
                <w:lang w:val="en-US"/>
              </w:rPr>
              <w:t>Landscape</w:t>
            </w:r>
          </w:p>
        </w:tc>
        <w:tc>
          <w:tcPr>
            <w:tcW w:w="5387" w:type="dxa"/>
          </w:tcPr>
          <w:p w14:paraId="26F68815" w14:textId="36154DFB" w:rsidR="00AB7801" w:rsidRPr="00C4413B" w:rsidRDefault="008763B1">
            <w:pPr>
              <w:rPr>
                <w:lang w:val="en-US"/>
              </w:rPr>
            </w:pPr>
            <w:r w:rsidRPr="00C4413B">
              <w:rPr>
                <w:lang w:val="en-US"/>
              </w:rPr>
              <w:t>Describe features that make the landscape special.    Describe the harm caused by N2T.</w:t>
            </w:r>
          </w:p>
        </w:tc>
      </w:tr>
      <w:tr w:rsidR="00AB7801" w14:paraId="1E6C3B32" w14:textId="77777777" w:rsidTr="00C4413B">
        <w:tc>
          <w:tcPr>
            <w:tcW w:w="4673" w:type="dxa"/>
          </w:tcPr>
          <w:p w14:paraId="5DE464C1" w14:textId="2C84D8AB" w:rsidR="00AB7801" w:rsidRPr="00C4413B" w:rsidRDefault="008763B1" w:rsidP="008763B1">
            <w:pPr>
              <w:pStyle w:val="ListParagraph"/>
              <w:numPr>
                <w:ilvl w:val="0"/>
                <w:numId w:val="2"/>
              </w:numPr>
              <w:rPr>
                <w:lang w:val="en-US"/>
              </w:rPr>
            </w:pPr>
            <w:r w:rsidRPr="00C4413B">
              <w:rPr>
                <w:lang w:val="en-US"/>
              </w:rPr>
              <w:lastRenderedPageBreak/>
              <w:t>Proximity to houses or businesses</w:t>
            </w:r>
          </w:p>
        </w:tc>
        <w:tc>
          <w:tcPr>
            <w:tcW w:w="5387" w:type="dxa"/>
          </w:tcPr>
          <w:p w14:paraId="1DFA17B5" w14:textId="30500169" w:rsidR="00AB7801" w:rsidRPr="00C4413B" w:rsidRDefault="008763B1">
            <w:pPr>
              <w:rPr>
                <w:lang w:val="en-US"/>
              </w:rPr>
            </w:pPr>
            <w:r w:rsidRPr="00C4413B">
              <w:rPr>
                <w:lang w:val="en-US"/>
              </w:rPr>
              <w:t>Describe the harm caused by the pro</w:t>
            </w:r>
            <w:r w:rsidR="00E0725E" w:rsidRPr="00C4413B">
              <w:rPr>
                <w:lang w:val="en-US"/>
              </w:rPr>
              <w:t>j</w:t>
            </w:r>
            <w:r w:rsidRPr="00C4413B">
              <w:rPr>
                <w:lang w:val="en-US"/>
              </w:rPr>
              <w:t>ect</w:t>
            </w:r>
            <w:r w:rsidR="00C4413B" w:rsidRPr="00C4413B">
              <w:rPr>
                <w:lang w:val="en-US"/>
              </w:rPr>
              <w:t>.  We have a survey about harm to businesses here: www.pylonseastanglia.co.uk/actions</w:t>
            </w:r>
          </w:p>
        </w:tc>
      </w:tr>
      <w:tr w:rsidR="00E0725E" w14:paraId="7D0FF3F9" w14:textId="77777777" w:rsidTr="00C4413B">
        <w:tc>
          <w:tcPr>
            <w:tcW w:w="4673" w:type="dxa"/>
          </w:tcPr>
          <w:p w14:paraId="0B0A07C3" w14:textId="3FD53919" w:rsidR="00E0725E" w:rsidRPr="00C4413B" w:rsidRDefault="00E0725E" w:rsidP="008763B1">
            <w:pPr>
              <w:pStyle w:val="ListParagraph"/>
              <w:numPr>
                <w:ilvl w:val="0"/>
                <w:numId w:val="2"/>
              </w:numPr>
              <w:rPr>
                <w:lang w:val="en-US"/>
              </w:rPr>
            </w:pPr>
            <w:r w:rsidRPr="00C4413B">
              <w:rPr>
                <w:lang w:val="en-US"/>
              </w:rPr>
              <w:t>Public Rights of Way</w:t>
            </w:r>
          </w:p>
        </w:tc>
        <w:tc>
          <w:tcPr>
            <w:tcW w:w="5387" w:type="dxa"/>
          </w:tcPr>
          <w:p w14:paraId="1AD87512" w14:textId="313E1935" w:rsidR="00E0725E" w:rsidRPr="00C4413B" w:rsidRDefault="00E0725E">
            <w:pPr>
              <w:rPr>
                <w:lang w:val="en-US"/>
              </w:rPr>
            </w:pPr>
            <w:r w:rsidRPr="00C4413B">
              <w:rPr>
                <w:lang w:val="en-US"/>
              </w:rPr>
              <w:t xml:space="preserve">Describe the harm to PROWs’, especially when they are well used </w:t>
            </w:r>
            <w:proofErr w:type="spellStart"/>
            <w:r w:rsidRPr="00C4413B">
              <w:rPr>
                <w:lang w:val="en-US"/>
              </w:rPr>
              <w:t>eg</w:t>
            </w:r>
            <w:proofErr w:type="spellEnd"/>
            <w:r w:rsidRPr="00C4413B">
              <w:rPr>
                <w:lang w:val="en-US"/>
              </w:rPr>
              <w:t xml:space="preserve"> Essex Way</w:t>
            </w:r>
          </w:p>
        </w:tc>
      </w:tr>
      <w:tr w:rsidR="00DF779B" w14:paraId="48BC4ABF" w14:textId="77777777" w:rsidTr="00C4413B">
        <w:tc>
          <w:tcPr>
            <w:tcW w:w="4673" w:type="dxa"/>
          </w:tcPr>
          <w:p w14:paraId="1B88246E" w14:textId="565299F1" w:rsidR="00DF779B" w:rsidRPr="00C4413B" w:rsidRDefault="00DF779B" w:rsidP="008763B1">
            <w:pPr>
              <w:pStyle w:val="ListParagraph"/>
              <w:numPr>
                <w:ilvl w:val="0"/>
                <w:numId w:val="2"/>
              </w:numPr>
              <w:rPr>
                <w:lang w:val="en-US"/>
              </w:rPr>
            </w:pPr>
            <w:r w:rsidRPr="00C4413B">
              <w:rPr>
                <w:lang w:val="en-US"/>
              </w:rPr>
              <w:t>Breaches of Holford Rules (or Horlock Rules if you have a substation)</w:t>
            </w:r>
          </w:p>
        </w:tc>
        <w:tc>
          <w:tcPr>
            <w:tcW w:w="5387" w:type="dxa"/>
          </w:tcPr>
          <w:p w14:paraId="00200375" w14:textId="77777777" w:rsidR="00DF779B" w:rsidRPr="00C4413B" w:rsidRDefault="00000000">
            <w:hyperlink r:id="rId10" w:history="1">
              <w:r w:rsidR="00DF779B" w:rsidRPr="00C4413B">
                <w:rPr>
                  <w:rStyle w:val="Hyperlink"/>
                </w:rPr>
                <w:t>13795-The Holford Rules.pdf (nationalgrid.com)</w:t>
              </w:r>
            </w:hyperlink>
          </w:p>
          <w:p w14:paraId="50EA5499" w14:textId="242942A8" w:rsidR="00DF779B" w:rsidRPr="00C4413B" w:rsidRDefault="00DF779B" w:rsidP="008E364B">
            <w:pPr>
              <w:tabs>
                <w:tab w:val="left" w:pos="3612"/>
              </w:tabs>
              <w:rPr>
                <w:lang w:val="en-US"/>
              </w:rPr>
            </w:pPr>
          </w:p>
        </w:tc>
      </w:tr>
      <w:tr w:rsidR="00E0725E" w14:paraId="5979D12C" w14:textId="77777777" w:rsidTr="00C4413B">
        <w:tc>
          <w:tcPr>
            <w:tcW w:w="4673" w:type="dxa"/>
          </w:tcPr>
          <w:p w14:paraId="61A06B1A" w14:textId="12A9A003" w:rsidR="00E0725E" w:rsidRPr="00C4413B" w:rsidRDefault="00E0725E" w:rsidP="008763B1">
            <w:pPr>
              <w:pStyle w:val="ListParagraph"/>
              <w:numPr>
                <w:ilvl w:val="0"/>
                <w:numId w:val="1"/>
              </w:numPr>
              <w:rPr>
                <w:b/>
                <w:bCs/>
                <w:color w:val="E26C0A"/>
                <w:lang w:val="en-US"/>
              </w:rPr>
            </w:pPr>
            <w:r w:rsidRPr="00C4413B">
              <w:rPr>
                <w:b/>
                <w:bCs/>
                <w:color w:val="E26C0A"/>
                <w:lang w:val="en-US"/>
              </w:rPr>
              <w:t>CONSULTATION</w:t>
            </w:r>
          </w:p>
        </w:tc>
        <w:tc>
          <w:tcPr>
            <w:tcW w:w="5387" w:type="dxa"/>
          </w:tcPr>
          <w:p w14:paraId="0C5FFF7D" w14:textId="77777777" w:rsidR="00E0725E" w:rsidRPr="00C4413B" w:rsidRDefault="00DF779B">
            <w:pPr>
              <w:rPr>
                <w:lang w:val="en-US"/>
              </w:rPr>
            </w:pPr>
            <w:r w:rsidRPr="00C4413B">
              <w:rPr>
                <w:lang w:val="en-US"/>
              </w:rPr>
              <w:t xml:space="preserve">Set out all the flaws of the consultation process </w:t>
            </w:r>
            <w:proofErr w:type="spellStart"/>
            <w:r w:rsidRPr="00C4413B">
              <w:rPr>
                <w:lang w:val="en-US"/>
              </w:rPr>
              <w:t>e.g</w:t>
            </w:r>
            <w:proofErr w:type="spellEnd"/>
          </w:p>
          <w:p w14:paraId="172A25A6" w14:textId="77777777" w:rsidR="00DF779B" w:rsidRPr="00C4413B" w:rsidRDefault="00DF779B" w:rsidP="00DF779B">
            <w:pPr>
              <w:pStyle w:val="ListParagraph"/>
              <w:numPr>
                <w:ilvl w:val="0"/>
                <w:numId w:val="3"/>
              </w:numPr>
              <w:rPr>
                <w:lang w:val="en-US"/>
              </w:rPr>
            </w:pPr>
            <w:r w:rsidRPr="00C4413B">
              <w:rPr>
                <w:lang w:val="en-US"/>
              </w:rPr>
              <w:t>Which points you have raised previously that have been ignored by NG</w:t>
            </w:r>
          </w:p>
          <w:p w14:paraId="24355D7F" w14:textId="77777777" w:rsidR="00DF779B" w:rsidRPr="00C4413B" w:rsidRDefault="00DF779B" w:rsidP="00DF779B">
            <w:pPr>
              <w:pStyle w:val="ListParagraph"/>
              <w:numPr>
                <w:ilvl w:val="0"/>
                <w:numId w:val="3"/>
              </w:numPr>
              <w:rPr>
                <w:lang w:val="en-US"/>
              </w:rPr>
            </w:pPr>
            <w:r w:rsidRPr="00C4413B">
              <w:rPr>
                <w:lang w:val="en-US"/>
              </w:rPr>
              <w:t xml:space="preserve">Difficulties for your parish with regard to attending drop-in events – timing, location, clash with event </w:t>
            </w:r>
            <w:proofErr w:type="spellStart"/>
            <w:r w:rsidRPr="00C4413B">
              <w:rPr>
                <w:lang w:val="en-US"/>
              </w:rPr>
              <w:t>e.g</w:t>
            </w:r>
            <w:proofErr w:type="spellEnd"/>
            <w:r w:rsidRPr="00C4413B">
              <w:rPr>
                <w:lang w:val="en-US"/>
              </w:rPr>
              <w:t xml:space="preserve"> Suffolk Show</w:t>
            </w:r>
          </w:p>
          <w:p w14:paraId="5F405CE1" w14:textId="77777777" w:rsidR="00DF779B" w:rsidRPr="00C4413B" w:rsidRDefault="00DF779B" w:rsidP="00DF779B">
            <w:pPr>
              <w:pStyle w:val="ListParagraph"/>
              <w:numPr>
                <w:ilvl w:val="0"/>
                <w:numId w:val="3"/>
              </w:numPr>
              <w:rPr>
                <w:lang w:val="en-US"/>
              </w:rPr>
            </w:pPr>
            <w:r w:rsidRPr="00C4413B">
              <w:rPr>
                <w:lang w:val="en-US"/>
              </w:rPr>
              <w:t>Parishioners being unaware of consultation</w:t>
            </w:r>
          </w:p>
          <w:p w14:paraId="6239AB9F" w14:textId="28533A4D" w:rsidR="00DF779B" w:rsidRPr="00C4413B" w:rsidRDefault="00DF779B" w:rsidP="00C4413B">
            <w:pPr>
              <w:pStyle w:val="ListParagraph"/>
              <w:numPr>
                <w:ilvl w:val="0"/>
                <w:numId w:val="3"/>
              </w:numPr>
              <w:rPr>
                <w:lang w:val="en-US"/>
              </w:rPr>
            </w:pPr>
            <w:r w:rsidRPr="00C4413B">
              <w:rPr>
                <w:lang w:val="en-US"/>
              </w:rPr>
              <w:t>Residents being unable to understand the proposals</w:t>
            </w:r>
            <w:r w:rsidR="00C4413B" w:rsidRPr="00C4413B">
              <w:rPr>
                <w:lang w:val="en-US"/>
              </w:rPr>
              <w:t xml:space="preserve"> </w:t>
            </w:r>
            <w:proofErr w:type="spellStart"/>
            <w:r w:rsidR="00C4413B" w:rsidRPr="00C4413B">
              <w:rPr>
                <w:lang w:val="en-US"/>
              </w:rPr>
              <w:t>etc</w:t>
            </w:r>
            <w:proofErr w:type="spellEnd"/>
          </w:p>
        </w:tc>
      </w:tr>
      <w:tr w:rsidR="00AB7801" w14:paraId="0B9B6DD6" w14:textId="77777777" w:rsidTr="00C4413B">
        <w:tc>
          <w:tcPr>
            <w:tcW w:w="4673" w:type="dxa"/>
          </w:tcPr>
          <w:p w14:paraId="4D2B522E" w14:textId="77777777" w:rsidR="00AB7801" w:rsidRPr="00C4413B" w:rsidRDefault="008763B1" w:rsidP="008763B1">
            <w:pPr>
              <w:pStyle w:val="ListParagraph"/>
              <w:numPr>
                <w:ilvl w:val="0"/>
                <w:numId w:val="1"/>
              </w:numPr>
              <w:rPr>
                <w:b/>
                <w:bCs/>
                <w:color w:val="E26C0A"/>
                <w:lang w:val="en-US"/>
              </w:rPr>
            </w:pPr>
            <w:r w:rsidRPr="00C4413B">
              <w:rPr>
                <w:b/>
                <w:bCs/>
                <w:color w:val="E26C0A"/>
                <w:lang w:val="en-US"/>
              </w:rPr>
              <w:t>MITIGATE</w:t>
            </w:r>
          </w:p>
          <w:p w14:paraId="652B0265" w14:textId="77777777" w:rsidR="008763B1" w:rsidRPr="00C4413B" w:rsidRDefault="008763B1" w:rsidP="008763B1">
            <w:pPr>
              <w:ind w:left="360"/>
              <w:rPr>
                <w:lang w:val="en-US"/>
              </w:rPr>
            </w:pPr>
            <w:r w:rsidRPr="00C4413B">
              <w:rPr>
                <w:lang w:val="en-US"/>
              </w:rPr>
              <w:t>Whilst having made very clear our disapproval of NG’s consultation processes to date, including this one, and of the proposed scheme, in the event that the N2T project gains approval, we seek the following mitigations:</w:t>
            </w:r>
          </w:p>
          <w:p w14:paraId="30D04E34" w14:textId="5106EAE6" w:rsidR="00DF779B" w:rsidRPr="00C4413B" w:rsidRDefault="00DF779B" w:rsidP="00DF779B">
            <w:pPr>
              <w:pStyle w:val="ListParagraph"/>
              <w:numPr>
                <w:ilvl w:val="0"/>
                <w:numId w:val="2"/>
              </w:numPr>
              <w:rPr>
                <w:lang w:val="en-US"/>
              </w:rPr>
            </w:pPr>
            <w:r w:rsidRPr="00C4413B">
              <w:rPr>
                <w:lang w:val="en-US"/>
              </w:rPr>
              <w:t>X</w:t>
            </w:r>
          </w:p>
          <w:p w14:paraId="732DD4AC" w14:textId="2A2EF2F7" w:rsidR="00DF779B" w:rsidRPr="00C4413B" w:rsidRDefault="00DF779B" w:rsidP="00DF779B">
            <w:pPr>
              <w:pStyle w:val="ListParagraph"/>
              <w:numPr>
                <w:ilvl w:val="0"/>
                <w:numId w:val="2"/>
              </w:numPr>
              <w:rPr>
                <w:lang w:val="en-US"/>
              </w:rPr>
            </w:pPr>
            <w:r w:rsidRPr="00C4413B">
              <w:rPr>
                <w:lang w:val="en-US"/>
              </w:rPr>
              <w:t>Y</w:t>
            </w:r>
          </w:p>
          <w:p w14:paraId="3927A8BC" w14:textId="7AF70F5A" w:rsidR="00DF779B" w:rsidRPr="00C4413B" w:rsidRDefault="00DF779B" w:rsidP="00DF779B">
            <w:pPr>
              <w:pStyle w:val="ListParagraph"/>
              <w:numPr>
                <w:ilvl w:val="0"/>
                <w:numId w:val="2"/>
              </w:numPr>
              <w:rPr>
                <w:lang w:val="en-US"/>
              </w:rPr>
            </w:pPr>
            <w:r w:rsidRPr="00C4413B">
              <w:rPr>
                <w:lang w:val="en-US"/>
              </w:rPr>
              <w:t>z</w:t>
            </w:r>
          </w:p>
        </w:tc>
        <w:tc>
          <w:tcPr>
            <w:tcW w:w="5387" w:type="dxa"/>
          </w:tcPr>
          <w:p w14:paraId="4180F748" w14:textId="1F73134F" w:rsidR="00AB7801" w:rsidRPr="00C4413B" w:rsidRDefault="008763B1">
            <w:pPr>
              <w:rPr>
                <w:lang w:val="en-US"/>
              </w:rPr>
            </w:pPr>
            <w:r w:rsidRPr="00C4413B">
              <w:rPr>
                <w:lang w:val="en-US"/>
              </w:rPr>
              <w:t xml:space="preserve">This is </w:t>
            </w:r>
            <w:r w:rsidR="00DF779B" w:rsidRPr="00C4413B">
              <w:rPr>
                <w:lang w:val="en-US"/>
              </w:rPr>
              <w:t>your back-up plan</w:t>
            </w:r>
            <w:r w:rsidRPr="00C4413B">
              <w:rPr>
                <w:lang w:val="en-US"/>
              </w:rPr>
              <w:t xml:space="preserve">.  You might need to </w:t>
            </w:r>
            <w:r w:rsidR="00E0725E" w:rsidRPr="00C4413B">
              <w:rPr>
                <w:lang w:val="en-US"/>
              </w:rPr>
              <w:t>ask for certain pylons</w:t>
            </w:r>
            <w:r w:rsidR="00C50061" w:rsidRPr="00C4413B">
              <w:rPr>
                <w:lang w:val="en-US"/>
              </w:rPr>
              <w:t>, or an access road,</w:t>
            </w:r>
            <w:r w:rsidR="00E0725E" w:rsidRPr="00C4413B">
              <w:rPr>
                <w:lang w:val="en-US"/>
              </w:rPr>
              <w:t xml:space="preserve"> to be moved, or for an ancient tree or hedgerow to be protected.    You might decide that you can justify, that the route through all or part of your parish should be undergrounded.    </w:t>
            </w:r>
            <w:r w:rsidR="00C50061" w:rsidRPr="00C4413B">
              <w:rPr>
                <w:lang w:val="en-US"/>
              </w:rPr>
              <w:t>U</w:t>
            </w:r>
            <w:r w:rsidR="00DF779B" w:rsidRPr="00C4413B">
              <w:rPr>
                <w:lang w:val="en-US"/>
              </w:rPr>
              <w:t>se the Waveney Valley justification</w:t>
            </w:r>
            <w:r w:rsidR="00C50061" w:rsidRPr="00C4413B">
              <w:rPr>
                <w:lang w:val="en-US"/>
              </w:rPr>
              <w:t>/wording to help</w:t>
            </w:r>
            <w:r w:rsidR="00DF779B" w:rsidRPr="00C4413B">
              <w:rPr>
                <w:lang w:val="en-US"/>
              </w:rPr>
              <w:t xml:space="preserve"> your argument, </w:t>
            </w:r>
            <w:r w:rsidR="00DF779B" w:rsidRPr="00C4413B">
              <w:rPr>
                <w:i/>
                <w:iCs/>
                <w:lang w:val="en-US"/>
              </w:rPr>
              <w:t>“</w:t>
            </w:r>
            <w:r w:rsidR="00E0725E" w:rsidRPr="00C4413B">
              <w:rPr>
                <w:i/>
                <w:iCs/>
              </w:rPr>
              <w:t>Whilst the Waveney Valley is not a nationally designated landscape as set out in NPS</w:t>
            </w:r>
            <w:r w:rsidR="00C50061" w:rsidRPr="00C4413B">
              <w:rPr>
                <w:i/>
                <w:iCs/>
              </w:rPr>
              <w:t xml:space="preserve"> </w:t>
            </w:r>
            <w:r w:rsidR="00E0725E" w:rsidRPr="00C4413B">
              <w:rPr>
                <w:i/>
                <w:iCs/>
              </w:rPr>
              <w:t>EN-5 paragraph 2.9.20, the area was formerly identified (in the local plan) as a Special</w:t>
            </w:r>
            <w:r w:rsidR="00E0725E" w:rsidRPr="00C4413B">
              <w:rPr>
                <w:i/>
                <w:iCs/>
              </w:rPr>
              <w:br/>
              <w:t>Landscape Area. Effects would arise from new infrastructure in the landscape. In</w:t>
            </w:r>
            <w:r w:rsidR="00E0725E" w:rsidRPr="00C4413B">
              <w:rPr>
                <w:i/>
                <w:iCs/>
              </w:rPr>
              <w:br/>
              <w:t xml:space="preserve">addition, the setting of a Grade I listed building (St </w:t>
            </w:r>
            <w:proofErr w:type="spellStart"/>
            <w:r w:rsidR="00E0725E" w:rsidRPr="00C4413B">
              <w:rPr>
                <w:i/>
                <w:iCs/>
              </w:rPr>
              <w:t>Remegius</w:t>
            </w:r>
            <w:proofErr w:type="spellEnd"/>
            <w:r w:rsidR="00E0725E" w:rsidRPr="00C4413B">
              <w:rPr>
                <w:i/>
                <w:iCs/>
              </w:rPr>
              <w:t xml:space="preserve"> Church) extends from the</w:t>
            </w:r>
            <w:r w:rsidR="00E0725E" w:rsidRPr="00C4413B">
              <w:rPr>
                <w:i/>
                <w:iCs/>
              </w:rPr>
              <w:br/>
              <w:t>edge of Roydon across the valley to the agricultural hinterland and would be affected by</w:t>
            </w:r>
            <w:r w:rsidR="00E0725E" w:rsidRPr="00C4413B">
              <w:rPr>
                <w:i/>
                <w:iCs/>
              </w:rPr>
              <w:br/>
              <w:t>a new overhead line. There would also be effects on an undesignated moat. The valley,</w:t>
            </w:r>
            <w:r w:rsidR="00E0725E" w:rsidRPr="00C4413B">
              <w:rPr>
                <w:i/>
                <w:iCs/>
              </w:rPr>
              <w:br/>
              <w:t>including the adjacent SSSI are used extensively for recreation with a long-distance path</w:t>
            </w:r>
            <w:r w:rsidR="00E0725E" w:rsidRPr="00C4413B">
              <w:rPr>
                <w:i/>
                <w:iCs/>
              </w:rPr>
              <w:br/>
              <w:t>the Angles Way (established by the Ramblers Association), crossed by the 2023</w:t>
            </w:r>
            <w:r w:rsidR="00E0725E" w:rsidRPr="00C4413B">
              <w:rPr>
                <w:i/>
                <w:iCs/>
              </w:rPr>
              <w:br/>
              <w:t>preferred draft alignment adjacent to RG087</w:t>
            </w:r>
            <w:r w:rsidR="00DF779B" w:rsidRPr="00C4413B">
              <w:rPr>
                <w:i/>
                <w:iCs/>
              </w:rPr>
              <w:t>”</w:t>
            </w:r>
            <w:r w:rsidR="00C50061" w:rsidRPr="00C4413B">
              <w:rPr>
                <w:i/>
                <w:iCs/>
              </w:rPr>
              <w:t xml:space="preserve">  </w:t>
            </w:r>
            <w:r w:rsidR="00C4413B" w:rsidRPr="00C4413B">
              <w:t>You</w:t>
            </w:r>
            <w:r w:rsidR="00C50061" w:rsidRPr="00C4413B">
              <w:t xml:space="preserve"> might want to ask for T Pylons, but </w:t>
            </w:r>
            <w:r w:rsidR="00C4413B" w:rsidRPr="00C4413B">
              <w:t>be</w:t>
            </w:r>
            <w:r w:rsidR="00C50061" w:rsidRPr="00C4413B">
              <w:t xml:space="preserve"> aware that these require a permanent haul road.</w:t>
            </w:r>
          </w:p>
        </w:tc>
      </w:tr>
    </w:tbl>
    <w:p w14:paraId="20997227" w14:textId="77777777" w:rsidR="00AB7801" w:rsidRDefault="00AB7801">
      <w:pPr>
        <w:rPr>
          <w:lang w:val="en-US"/>
        </w:rPr>
      </w:pPr>
    </w:p>
    <w:p w14:paraId="659E16F9" w14:textId="77777777" w:rsidR="00C4413B" w:rsidRDefault="00C4413B">
      <w:pPr>
        <w:rPr>
          <w:b/>
          <w:bCs/>
          <w:lang w:val="en-US"/>
        </w:rPr>
      </w:pPr>
      <w:r>
        <w:rPr>
          <w:b/>
          <w:bCs/>
          <w:lang w:val="en-US"/>
        </w:rPr>
        <w:br w:type="page"/>
      </w:r>
    </w:p>
    <w:p w14:paraId="1382D717" w14:textId="0AAE8E84" w:rsidR="00AB7801" w:rsidRPr="00AB7801" w:rsidRDefault="00AB7801" w:rsidP="00AB7801">
      <w:pPr>
        <w:rPr>
          <w:lang w:val="en-US"/>
        </w:rPr>
      </w:pPr>
      <w:r>
        <w:rPr>
          <w:b/>
          <w:bCs/>
          <w:lang w:val="en-US"/>
        </w:rPr>
        <w:lastRenderedPageBreak/>
        <w:t>*</w:t>
      </w:r>
      <w:r w:rsidRPr="00AB7801">
        <w:rPr>
          <w:b/>
          <w:bCs/>
          <w:lang w:val="en-US"/>
        </w:rPr>
        <w:t>Underground High-Voltage Direct Current (HVDC) cables</w:t>
      </w:r>
      <w:r w:rsidRPr="00AB7801">
        <w:rPr>
          <w:lang w:val="en-US"/>
        </w:rPr>
        <w:t xml:space="preserve"> offer several benefits over traditional Alternating Current (AC) cables, particularly in specific contexts such as long-distance transmission or undersea cables. Here are some of the key benefits of HVDC cables compared to AC cables:</w:t>
      </w:r>
    </w:p>
    <w:p w14:paraId="1D8249FA" w14:textId="77777777" w:rsidR="00AB7801" w:rsidRPr="00AB7801" w:rsidRDefault="00AB7801" w:rsidP="00AB7801">
      <w:pPr>
        <w:rPr>
          <w:lang w:val="en-US"/>
        </w:rPr>
      </w:pPr>
      <w:r w:rsidRPr="00AB7801">
        <w:rPr>
          <w:lang w:val="en-US"/>
        </w:rPr>
        <w:t>1.</w:t>
      </w:r>
      <w:r w:rsidRPr="00AB7801">
        <w:rPr>
          <w:lang w:val="en-US"/>
        </w:rPr>
        <w:tab/>
        <w:t>Reduced Transmission Losses: HVDC cables are more efficient over long distances. They experience lower electrical losses, making them suitable for transmitting power over large distances without the need for multiple substations along the route.</w:t>
      </w:r>
    </w:p>
    <w:p w14:paraId="2A5CAD46" w14:textId="77777777" w:rsidR="00AB7801" w:rsidRPr="00AB7801" w:rsidRDefault="00AB7801" w:rsidP="00AB7801">
      <w:pPr>
        <w:rPr>
          <w:lang w:val="en-US"/>
        </w:rPr>
      </w:pPr>
      <w:r w:rsidRPr="00AB7801">
        <w:rPr>
          <w:lang w:val="en-US"/>
        </w:rPr>
        <w:t>2.</w:t>
      </w:r>
      <w:r w:rsidRPr="00AB7801">
        <w:rPr>
          <w:lang w:val="en-US"/>
        </w:rPr>
        <w:tab/>
        <w:t>Stability and Control: HVDC systems offer better control over power flow, improving the stability of the network. This is particularly beneficial in connecting asynchronous grids or integrating renewable energy sources.</w:t>
      </w:r>
    </w:p>
    <w:p w14:paraId="40702BC6" w14:textId="77777777" w:rsidR="00AB7801" w:rsidRPr="00AB7801" w:rsidRDefault="00AB7801" w:rsidP="00AB7801">
      <w:pPr>
        <w:rPr>
          <w:lang w:val="en-US"/>
        </w:rPr>
      </w:pPr>
      <w:r w:rsidRPr="00AB7801">
        <w:rPr>
          <w:lang w:val="en-US"/>
        </w:rPr>
        <w:t>3.</w:t>
      </w:r>
      <w:r w:rsidRPr="00AB7801">
        <w:rPr>
          <w:lang w:val="en-US"/>
        </w:rPr>
        <w:tab/>
        <w:t>Lower Electromagnetic Fields: Underground HVDC cables produce lower electromagnetic fields compared to AC cables. This reduces potential environmental impacts and health concerns, making them more suitable for densely populated areas.</w:t>
      </w:r>
    </w:p>
    <w:p w14:paraId="2A4C2080" w14:textId="77777777" w:rsidR="00AB7801" w:rsidRPr="00AB7801" w:rsidRDefault="00AB7801" w:rsidP="00AB7801">
      <w:pPr>
        <w:rPr>
          <w:lang w:val="en-US"/>
        </w:rPr>
      </w:pPr>
      <w:r w:rsidRPr="00AB7801">
        <w:rPr>
          <w:lang w:val="en-US"/>
        </w:rPr>
        <w:t>4.</w:t>
      </w:r>
      <w:r w:rsidRPr="00AB7801">
        <w:rPr>
          <w:lang w:val="en-US"/>
        </w:rPr>
        <w:tab/>
        <w:t>Space and Visual Impact: Because HVDC cables can transmit more power over the same diameter of cable compared to AC, they can be more compact. This is particularly beneficial for underground or undersea routes, where space is at a premium and visual impact needs to be minimized.</w:t>
      </w:r>
    </w:p>
    <w:p w14:paraId="4587929C" w14:textId="77777777" w:rsidR="00AB7801" w:rsidRPr="00AB7801" w:rsidRDefault="00AB7801" w:rsidP="00AB7801">
      <w:pPr>
        <w:rPr>
          <w:lang w:val="en-US"/>
        </w:rPr>
      </w:pPr>
      <w:r w:rsidRPr="00AB7801">
        <w:rPr>
          <w:lang w:val="en-US"/>
        </w:rPr>
        <w:t>5.</w:t>
      </w:r>
      <w:r w:rsidRPr="00AB7801">
        <w:rPr>
          <w:lang w:val="en-US"/>
        </w:rPr>
        <w:tab/>
        <w:t>Technical Challenges with AC: For AC cables, especially when buried underground or laid underwater, the cable capacitance can lead to high reactive power generation. This can necessitate the use of compensating equipment along the route, increasing complexity and cost. HVDC does not have this issue, making it more efficient for such applications.</w:t>
      </w:r>
    </w:p>
    <w:p w14:paraId="7D1048C7" w14:textId="77777777" w:rsidR="00AB7801" w:rsidRPr="00AB7801" w:rsidRDefault="00AB7801" w:rsidP="00AB7801">
      <w:pPr>
        <w:rPr>
          <w:lang w:val="en-US"/>
        </w:rPr>
      </w:pPr>
      <w:r w:rsidRPr="00AB7801">
        <w:rPr>
          <w:lang w:val="en-US"/>
        </w:rPr>
        <w:t>6.</w:t>
      </w:r>
      <w:r w:rsidRPr="00AB7801">
        <w:rPr>
          <w:lang w:val="en-US"/>
        </w:rPr>
        <w:tab/>
        <w:t>Flexibility in Network Design: HVDC allows for the transmission of power between grids that operate at different frequencies or are not synchronized. This flexibility can be crucial in integrating energy markets and renewable energy sources across borders.</w:t>
      </w:r>
    </w:p>
    <w:p w14:paraId="74C4FFE3" w14:textId="77777777" w:rsidR="00AB7801" w:rsidRPr="00AB7801" w:rsidRDefault="00AB7801" w:rsidP="00AB7801">
      <w:pPr>
        <w:rPr>
          <w:lang w:val="en-US"/>
        </w:rPr>
      </w:pPr>
      <w:r w:rsidRPr="00AB7801">
        <w:rPr>
          <w:lang w:val="en-US"/>
        </w:rPr>
        <w:t>7.</w:t>
      </w:r>
      <w:r w:rsidRPr="00AB7801">
        <w:rPr>
          <w:lang w:val="en-US"/>
        </w:rPr>
        <w:tab/>
        <w:t>Cost-Effectiveness for Long Distances: For very long distances, the lower operational costs and reduced transmission losses of HVDC can offset the higher initial costs associated with HVDC converter stations. This makes HVDC more cost-effective for long-distance and undersea cable projects.</w:t>
      </w:r>
    </w:p>
    <w:p w14:paraId="4DF7993B" w14:textId="4499A292" w:rsidR="00AB7801" w:rsidRPr="00AB7801" w:rsidRDefault="00AB7801" w:rsidP="00AB7801">
      <w:pPr>
        <w:rPr>
          <w:lang w:val="en-US"/>
        </w:rPr>
      </w:pPr>
      <w:r w:rsidRPr="00AB7801">
        <w:rPr>
          <w:lang w:val="en-US"/>
        </w:rPr>
        <w:t>It's important to note that while HVDC offers these benefits, the choice between HVDC and AC transmission depends on various factors, including distance, cost, and the specific requirements of the electricity network. HVDC systems involve higher initial</w:t>
      </w:r>
    </w:p>
    <w:sectPr w:rsidR="00AB7801" w:rsidRPr="00AB7801" w:rsidSect="00C9706A">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1D74" w14:textId="77777777" w:rsidR="00ED72A8" w:rsidRDefault="00ED72A8" w:rsidP="00DF779B">
      <w:pPr>
        <w:spacing w:after="0" w:line="240" w:lineRule="auto"/>
      </w:pPr>
      <w:r>
        <w:separator/>
      </w:r>
    </w:p>
  </w:endnote>
  <w:endnote w:type="continuationSeparator" w:id="0">
    <w:p w14:paraId="200E7759" w14:textId="77777777" w:rsidR="00ED72A8" w:rsidRDefault="00ED72A8" w:rsidP="00DF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7974" w14:textId="77777777" w:rsidR="00ED72A8" w:rsidRDefault="00ED72A8" w:rsidP="00DF779B">
      <w:pPr>
        <w:spacing w:after="0" w:line="240" w:lineRule="auto"/>
      </w:pPr>
      <w:r>
        <w:separator/>
      </w:r>
    </w:p>
  </w:footnote>
  <w:footnote w:type="continuationSeparator" w:id="0">
    <w:p w14:paraId="33399AA6" w14:textId="77777777" w:rsidR="00ED72A8" w:rsidRDefault="00ED72A8" w:rsidP="00DF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B2D7" w14:textId="7738C855" w:rsidR="00DF779B" w:rsidRPr="00DF779B" w:rsidRDefault="00DF779B" w:rsidP="00DF779B">
    <w:pPr>
      <w:pStyle w:val="Header"/>
      <w:jc w:val="center"/>
      <w:rPr>
        <w:b/>
        <w:bCs/>
        <w:color w:val="E26C0A"/>
        <w:lang w:val="en-US"/>
      </w:rPr>
    </w:pPr>
    <w:r w:rsidRPr="00DF779B">
      <w:rPr>
        <w:b/>
        <w:bCs/>
        <w:color w:val="E26C0A"/>
        <w:lang w:val="en-US"/>
      </w:rPr>
      <w:t>WWW.PYLONSEASTANGLIA.CO.UK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F1269"/>
    <w:multiLevelType w:val="hybridMultilevel"/>
    <w:tmpl w:val="2BDC0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E1831"/>
    <w:multiLevelType w:val="hybridMultilevel"/>
    <w:tmpl w:val="FB42A5DA"/>
    <w:lvl w:ilvl="0" w:tplc="AB627F7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DC2AD9"/>
    <w:multiLevelType w:val="hybridMultilevel"/>
    <w:tmpl w:val="25D83C8A"/>
    <w:lvl w:ilvl="0" w:tplc="AB627F7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D0B85"/>
    <w:multiLevelType w:val="hybridMultilevel"/>
    <w:tmpl w:val="1C88DDCE"/>
    <w:lvl w:ilvl="0" w:tplc="93328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054367">
    <w:abstractNumId w:val="0"/>
  </w:num>
  <w:num w:numId="2" w16cid:durableId="1926955980">
    <w:abstractNumId w:val="1"/>
  </w:num>
  <w:num w:numId="3" w16cid:durableId="323092628">
    <w:abstractNumId w:val="3"/>
  </w:num>
  <w:num w:numId="4" w16cid:durableId="1903172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01"/>
    <w:rsid w:val="000115DF"/>
    <w:rsid w:val="00285F15"/>
    <w:rsid w:val="008763B1"/>
    <w:rsid w:val="008E364B"/>
    <w:rsid w:val="00A870AA"/>
    <w:rsid w:val="00AA66D5"/>
    <w:rsid w:val="00AB7801"/>
    <w:rsid w:val="00C253EF"/>
    <w:rsid w:val="00C4413B"/>
    <w:rsid w:val="00C50061"/>
    <w:rsid w:val="00C9706A"/>
    <w:rsid w:val="00DF779B"/>
    <w:rsid w:val="00E0725E"/>
    <w:rsid w:val="00ED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989F"/>
  <w15:chartTrackingRefBased/>
  <w15:docId w15:val="{67BC5353-844D-4ABF-888D-C568F15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801"/>
    <w:pPr>
      <w:ind w:left="720"/>
      <w:contextualSpacing/>
    </w:pPr>
  </w:style>
  <w:style w:type="character" w:styleId="Hyperlink">
    <w:name w:val="Hyperlink"/>
    <w:basedOn w:val="DefaultParagraphFont"/>
    <w:uiPriority w:val="99"/>
    <w:unhideWhenUsed/>
    <w:rsid w:val="008763B1"/>
    <w:rPr>
      <w:color w:val="0563C1" w:themeColor="hyperlink"/>
      <w:u w:val="single"/>
    </w:rPr>
  </w:style>
  <w:style w:type="character" w:styleId="UnresolvedMention">
    <w:name w:val="Unresolved Mention"/>
    <w:basedOn w:val="DefaultParagraphFont"/>
    <w:uiPriority w:val="99"/>
    <w:semiHidden/>
    <w:unhideWhenUsed/>
    <w:rsid w:val="008763B1"/>
    <w:rPr>
      <w:color w:val="605E5C"/>
      <w:shd w:val="clear" w:color="auto" w:fill="E1DFDD"/>
    </w:rPr>
  </w:style>
  <w:style w:type="character" w:styleId="Strong">
    <w:name w:val="Strong"/>
    <w:basedOn w:val="DefaultParagraphFont"/>
    <w:uiPriority w:val="22"/>
    <w:qFormat/>
    <w:rsid w:val="008763B1"/>
    <w:rPr>
      <w:b/>
      <w:bCs/>
    </w:rPr>
  </w:style>
  <w:style w:type="paragraph" w:styleId="Header">
    <w:name w:val="header"/>
    <w:basedOn w:val="Normal"/>
    <w:link w:val="HeaderChar"/>
    <w:uiPriority w:val="99"/>
    <w:unhideWhenUsed/>
    <w:rsid w:val="00DF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9B"/>
  </w:style>
  <w:style w:type="paragraph" w:styleId="Footer">
    <w:name w:val="footer"/>
    <w:basedOn w:val="Normal"/>
    <w:link w:val="FooterChar"/>
    <w:uiPriority w:val="99"/>
    <w:unhideWhenUsed/>
    <w:rsid w:val="00DF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lons18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n-t.nationalgri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ionalgrid.com/sites/default/files/documents/13795-The%20Holford%20Rules.pdf" TargetMode="External"/><Relationship Id="rId4" Type="http://schemas.openxmlformats.org/officeDocument/2006/relationships/webSettings" Target="webSettings.xml"/><Relationship Id="rId9" Type="http://schemas.openxmlformats.org/officeDocument/2006/relationships/hyperlink" Target="http://www.magicma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Pearson</dc:creator>
  <cp:keywords/>
  <dc:description/>
  <cp:lastModifiedBy>Mark Gillett</cp:lastModifiedBy>
  <cp:revision>2</cp:revision>
  <cp:lastPrinted>2024-05-29T16:01:00Z</cp:lastPrinted>
  <dcterms:created xsi:type="dcterms:W3CDTF">2024-05-29T16:26:00Z</dcterms:created>
  <dcterms:modified xsi:type="dcterms:W3CDTF">2024-05-29T16:26:00Z</dcterms:modified>
</cp:coreProperties>
</file>